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10.png" ContentType="image/png"/>
  <Override PartName="/word/media/rId108.png" ContentType="image/png"/>
  <Override PartName="/word/media/rId105.png" ContentType="image/png"/>
  <Override PartName="/word/media/rId109.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02</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efforts in the Columbia River basin. Reservoirs and tailraces associated with dams on the Snake and Columbia river have created favorable conditions for fishes known to consume juvenile salmonids. The native Northern Pikeminnow are one of these fishes and have been estimated to consume ~8% of the approximately 200 million juvenile salmonids emigrating through the lower Snake and Columbia rivers, annually. Less is known about the interaction between upstream, river-dwelling Northern Pikeminnow and their impacts on salmonid recovery above these reservoir systems. In this study, we examine the abundance of Northern Pikeminnow in a slow-water reach of the Salmon River, Idaho, known as Deadwater Slough, and consider potential impacts of them on local Chinook Salmon populations. The reach was (at least partially) formed by the failure of a small mining dam in a nearby drainage during the late 19th century and contains historically important overwinter rearing habitat and is a migration corridor for Chinook Salmon as well as other Endangered Species Act-listed species including steelhead and Sockeye Salmon. We estimated the abundance of Northern Pikeminnow in Deadwater Slough to be 27,874 in the fall and 19,499 in the spring during the peak emigrations of juvenile Chinook Salmon. Assuming a scenario where 60% of the Northern Pikeminnow diet is fish, of which 50% is Chinook Salmon, we estimated the Northern Pikeminnow population to consume 95,120 juvenile Chinook Salmon, annually. In the most conservative scenario where 30% of diet is fish and 30% of fish are juvenile Chinook Salmon, 47,079 juveniles are consumed. Using a sensitivity analysis, we further considered potential impacts to adult returns to local populations. Given the size of the Salmon River, the estimated Northern Pikeminnow densities for Deadwater Slough are remarkable and predation from the population likely has consequential impacts on Chinook Salmon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this includes Salmon River (above Redfish Lake Creek), Valley Creek, Yankee Fork Salmon River, East Fork Salmon River, Salmon River (mainstem below Redfish Lake Creek), Pahsimeroi River, Lemhi River, and North Fork Salmon River populations</w:t>
      </w:r>
      <w:r>
        <w:t xml:space="preserve"> </w:t>
      </w:r>
      <w:r>
        <w:t xml:space="preserve">(NOAA 2017)</w:t>
      </w:r>
      <w:r>
        <w:t xml:space="preserve">. The Lemhi River historically contained the largest Chinook Salmon population within the MPG and is therefore of particular interest for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After evaluating all methods, angling was the most effective method for capturing Northern Pikeminnow while also minimizing potential impacts to ESA-listed adult steelhead that were present in the Salmon River during our surveys. Ineffective methods were abandoned in subsequent years and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Schnabel estimator, which assumed that marked and released fish during each survey day were not available for recapture for 48 hours. The adjusted Schnabel estimator, referred to as the</w:t>
      </w:r>
      <w:r>
        <w:t xml:space="preserve"> </w:t>
      </w:r>
      <w:r>
        <w:t xml:space="preserve">“</w:t>
      </w:r>
      <w:r>
        <w:t xml:space="preserve">delayed mixing</w:t>
      </w:r>
      <w:r>
        <w:t xml:space="preserve">”</w:t>
      </w:r>
      <w:r>
        <w:t xml:space="preserve"> </w:t>
      </w:r>
      <w:r>
        <w:t xml:space="preserve">Schnabel estimator, is given by:</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linear and areal densities by dividing by the length and area, respectively, of Deadwater Slough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(Table</w:t>
      </w:r>
      <w:r>
        <w:t xml:space="preserve"> </w:t>
      </w:r>
      <w:r>
        <w:t xml:space="preserve">1</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 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expected to return to Lower Granite Dam if predation was reduced or eliminated in the Deadwater Slough. This calculation was made by multiplying the total estimated juvenile Chinook Salmon consumed by the median Granite-to-Granite SAR of 0.00614 (sd = 0.00051) from</w:t>
      </w:r>
      <w:r>
        <w:t xml:space="preserve"> </w:t>
      </w:r>
      <w:r>
        <w:t xml:space="preserve">McCann et al. (2019)</w:t>
      </w:r>
      <w:r>
        <w:t xml:space="preserve"> </w:t>
      </w:r>
      <w:r>
        <w:t xml:space="preserve">for Upper Salmon River MPG Chinook Salmon.</w:t>
      </w:r>
    </w:p>
    <w:p>
      <w:pPr>
        <w:pStyle w:val="BodyText"/>
      </w:pPr>
      <w:r>
        <w:t xml:space="preserve">All data and code for the analyses presented here can be found in a GitHub repository at</w:t>
      </w:r>
      <w:r>
        <w:t xml:space="preserve"> </w:t>
      </w:r>
      <w:r>
        <w:rPr>
          <w:iCs/>
          <w:i/>
          <w:bCs/>
          <w:b/>
        </w:rPr>
        <w:t xml:space="preserve">zenodo DOI</w:t>
      </w:r>
      <w:r>
        <w:t xml:space="preserve"> </w:t>
      </w:r>
      <w:r>
        <w:t xml:space="preserve">here.</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2</w:t>
      </w:r>
      <w:r>
        <w:t xml:space="preserve"> </w:t>
      </w:r>
      <w:r>
        <w:t xml:space="preserve">and Table</w:t>
      </w:r>
      <w:r>
        <w:t xml:space="preserve"> </w:t>
      </w:r>
      <w:r>
        <w:t xml:space="preserve">3</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4</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Using the delayed-mixing Schnabel estimator, the mean fall abundance estimate was 19,499 (95% CI: 9,952 - 41,597). For spring 2021, we estimated 14,799 (95% CI: 7,562 - 31,530) Northern Pikeminnow in Deadwater Slough. Those estimates translate to linear densities of 10,422 and 7,909 Northern Pikeminnow per rkm and areal densities (fish/100 m</w:t>
      </w:r>
      <m:oMath>
        <m:sSup>
          <m:e>
            <m:r>
              <m:t>​</m:t>
            </m:r>
          </m:e>
          <m:sup>
            <m:r>
              <m:t>2</m:t>
            </m:r>
          </m:sup>
        </m:sSup>
      </m:oMath>
      <w:r>
        <w:t xml:space="preserve">) of 23.3 and 12.4 for fall and spring, respectively.</w:t>
      </w:r>
    </w:p>
    <w:p>
      <w:pPr>
        <w:pStyle w:val="BodyText"/>
      </w:pPr>
      <w:r>
        <w:t xml:space="preserve">The lengths of Northern Pikeminnow captured ranged from 176 to 639 mm TL with an average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5</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 an average-size Northern Pikeminnow (394.1 TL mm) to consume 43.55 g of fish to maintain their body size, assuming 60% of their diet consists of fish prey (Figure</w:t>
      </w:r>
      <w:r>
        <w:t xml:space="preserve"> </w:t>
      </w:r>
      <w:r>
        <w:t xml:space="preserve">4</w:t>
      </w:r>
      <w:r>
        <w:t xml:space="preserve">). Fall consumption ranged from 35.74 g for a diet of 30% fish to 46.91 g for a diet of 90% fish. During the spring NRR emigration, we estimated an average-size Northern Pikeminnow (352.9 TL mm) to consume 42.51 g of fish, assuming 60% of their diet is fish prey (Figure</w:t>
      </w:r>
      <w:r>
        <w:t xml:space="preserve"> </w:t>
      </w:r>
      <w:r>
        <w:t xml:space="preserve">4</w:t>
      </w:r>
      <w:r>
        <w:t xml:space="preserve">). Spring consumption ranged from 34.01 for a diet of 30% fish to 44.33 for a diet of 90% fish. Given estimated mean Northern Pikeminnow population sizes of 27,874 from fall estimates and 14,799 for spring 2021, and assuming 60% of their diet is fish, we estimate that Northern Pikeminnow population can consume 1.2 metric tons of fish during the fall DSR emigration and an additional 0.6 metric tons during the spring NRR emigration in Deadwater Slough.</w:t>
      </w:r>
    </w:p>
    <w:bookmarkEnd w:id="31"/>
    <w:bookmarkStart w:id="32" w:name="impacts-to-chinook-salmon-populations-1"/>
    <w:p>
      <w:pPr>
        <w:pStyle w:val="Heading2"/>
      </w:pPr>
      <w:r>
        <w:t xml:space="preserve">Impacts to Chinook Salmon Populations</w:t>
      </w:r>
    </w:p>
    <w:p>
      <w:pPr>
        <w:pStyle w:val="FirstParagraph"/>
      </w:pPr>
      <w:r>
        <w:t xml:space="preserve">Using the total fish consumed by the Northern Pikeminnow population (summing fall and spring surveys), we produced a sensitivity analysis for three Northern Pikeminnow diet scenarios where juvenile Chinook Salmon make up 30%, 50%, and 65% of total fish prey consumed (Figure</w:t>
      </w:r>
      <w:r>
        <w:t xml:space="preserve"> </w:t>
      </w:r>
      <w:r>
        <w:t xml:space="preserve">5</w:t>
      </w:r>
      <w:r>
        <w:t xml:space="preserve">). Assuming that 50% of the total fish consumed are juvenile Chinook salmon, we estimate that 87,785 (95% CI: 44,858 - 187,033) juvenile Chinook Salmon will be consumed. Using the median Granite-to-Granite SAR, we estimated the juvenile consumption would is equivalent to 539 (95% CI: 231 - 1,335) adults (Figure</w:t>
      </w:r>
      <w:r>
        <w:t xml:space="preserve"> </w:t>
      </w:r>
      <w:r>
        <w:t xml:space="preserve">6</w:t>
      </w:r>
      <w:r>
        <w:t xml:space="preserve">).</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was estimated to be 27,874 during the fall DSR emigration and 14,799 during the spring NRR emigration. Those estimates translate to linear densities (fish/rkm) that are 21 and 11 times greater than densities reported by</w:t>
      </w:r>
      <w:r>
        <w:t xml:space="preserve"> </w:t>
      </w:r>
      <w:r>
        <w:t xml:space="preserve">Beamesderfer and Rieman (1991)</w:t>
      </w:r>
      <w:r>
        <w:t xml:space="preserve"> </w:t>
      </w:r>
      <w:r>
        <w:t xml:space="preserve">for the John Day Reservoir and approximately 5 and 3 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w:t>
      </w:r>
      <w:r>
        <w:t xml:space="preserve"> </w:t>
      </w:r>
      <w:r>
        <w:t xml:space="preserve">The assumption of a closed population can also affect results if mortality occurs for some marked fish released back to the population. During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days within a survey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For example, if marked fish were only 70% as likely to be caught as unmarked fish,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(50%)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 639 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as well as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 Pikeminnow’s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 87,785 juvenile Chinook Salmon may be consumed by Northern Pikeminnow assuming that 60% of their diet is fish and 50% of that is Chinook Salmon. Considering that diet scenarios used in our study are likely conservative assumptions, especially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 539 adults, annually, which is 97% of the total mean adult escapement estimated</w:t>
      </w:r>
      <w:r>
        <w:t xml:space="preserve"> </w:t>
      </w:r>
      <w:r>
        <w:t xml:space="preserve">for the Upper Salmon MPG in 2017 - 2019</w:t>
      </w:r>
      <w:r>
        <w:t xml:space="preserve"> </w:t>
      </w:r>
      <w:r>
        <w:t xml:space="preserve">(Kinzer et al. 2020)</w:t>
      </w:r>
      <w:r>
        <w:t xml:space="preserve">. Even under the most conservative scenario where 30% of the Northern Pikeminnow diet is fish and 30% of that is Chinook Salmon we estimate the</w:t>
      </w:r>
      <w:r>
        <w:t xml:space="preserve"> </w:t>
      </w:r>
      <w:r>
        <w:t xml:space="preserve">“</w:t>
      </w:r>
      <w:r>
        <w:t xml:space="preserve">adult equivalents</w:t>
      </w:r>
      <w:r>
        <w:t xml:space="preserve">”</w:t>
      </w:r>
      <w:r>
        <w:t xml:space="preserve"> </w:t>
      </w:r>
      <w:r>
        <w:t xml:space="preserve">of the juveniles consumed to be 263, which is 47% of recent natural-origin adult escapements. In addition to juvenile Chinook Salmon, juvenile steelhead and Sockeye Salmon, including hatchery releases, are also likely prey items for Northern Pikeminnow in Deadwater Slough. Accordingly, we surmise that adult returns of steelhead and Sockeye Salmon are also affected by predation, including hatchery populations, which provide recreational fishing opportunities. Consequently, reducing predation mortality at Deadwater Slough could potentially benefit multiple upriver natural and hatchery populations, including other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Even under the most conservative scenarios, we estimate more than 10,000 Northern Pikeminnow occupy Deadwater Slough, resulting in a remarkable density given the size of the area. Additionally, the slow water velocity and lack of cover have created conditions that favor predation on juvenile salmonids that are rearing in or emigrating through Deadwater Slough, including Chinook Salmon. We estimate that, at a minimum, Northern Pikeminnow in Deadwater Slough consume greater than 24,000 juvenile Chinook salmon (the lower 95% CI of the most conservative scenario evaluated). It is more likely that this value is closer to 100,000, annually, creating a consequential impact on ESA-listed Chinook Salmon populations in the Upper Salmon MPG.</w:t>
      </w:r>
    </w:p>
    <w:p>
      <w:r>
        <w:br w:type="page"/>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w:t>
      </w:r>
    </w:p>
    <w:tbl>
      <w:tblPr>
        <w:tblStyle w:val="Table"/>
        <w:tblW w:type="auto" w:w="0"/>
        <w:tblLook w:firstRow="1" w:lastRow="0" w:firstColumn="0" w:lastColumn="0" w:noHBand="0" w:noVBand="0" w:val="0020"/>
        <w:tblCaption w:val="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
      </w:tblPr>
      <w:tblGrid>
        <w:gridCol w:w="1980"/>
        <w:gridCol w:w="1980"/>
        <w:gridCol w:w="1980"/>
        <w:gridCol w:w="1980"/>
      </w:tblGrid>
      <w:tr>
        <w:trPr>
          <w:tblHeader w:val="true"/>
        </w:trPr>
        <w:tc>
          <w:tcPr/>
          <w:p>
            <w:pPr>
              <w:pStyle w:val="Compact"/>
              <w:jc w:val="left"/>
            </w:pPr>
            <w:r>
              <w:t xml:space="preserve">Season</w:t>
            </w:r>
          </w:p>
        </w:tc>
        <w:tc>
          <w:tcPr/>
          <w:p>
            <w:pPr>
              <w:pStyle w:val="Compact"/>
              <w:jc w:val="left"/>
            </w:pPr>
            <w:r>
              <w:t xml:space="preserve">Date Range</w:t>
            </w:r>
          </w:p>
        </w:tc>
        <w:tc>
          <w:tcPr/>
          <w:p>
            <w:pPr>
              <w:pStyle w:val="Compact"/>
              <w:jc w:val="left"/>
            </w:pPr>
            <w:r>
              <w:t xml:space="preserve">% Fish in Diet</w:t>
            </w:r>
          </w:p>
        </w:tc>
        <w:tc>
          <w:tcPr/>
          <w:p>
            <w:pPr>
              <w:pStyle w:val="Compact"/>
              <w:jc w:val="right"/>
            </w:pPr>
            <w:r>
              <w:t xml:space="preserve">g Consumed</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30</w:t>
            </w:r>
          </w:p>
        </w:tc>
        <w:tc>
          <w:tcPr/>
          <w:p>
            <w:pPr>
              <w:pStyle w:val="Compact"/>
              <w:jc w:val="right"/>
            </w:pPr>
            <w:r>
              <w:t xml:space="preserve">35.74</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40</w:t>
            </w:r>
          </w:p>
        </w:tc>
        <w:tc>
          <w:tcPr/>
          <w:p>
            <w:pPr>
              <w:pStyle w:val="Compact"/>
              <w:jc w:val="right"/>
            </w:pPr>
            <w:r>
              <w:t xml:space="preserve">39.37</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50</w:t>
            </w:r>
          </w:p>
        </w:tc>
        <w:tc>
          <w:tcPr/>
          <w:p>
            <w:pPr>
              <w:pStyle w:val="Compact"/>
              <w:jc w:val="right"/>
            </w:pPr>
            <w:r>
              <w:t xml:space="preserve">41.75</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60</w:t>
            </w:r>
          </w:p>
        </w:tc>
        <w:tc>
          <w:tcPr/>
          <w:p>
            <w:pPr>
              <w:pStyle w:val="Compact"/>
              <w:jc w:val="right"/>
            </w:pPr>
            <w:r>
              <w:t xml:space="preserve">43.55</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70</w:t>
            </w:r>
          </w:p>
        </w:tc>
        <w:tc>
          <w:tcPr/>
          <w:p>
            <w:pPr>
              <w:pStyle w:val="Compact"/>
              <w:jc w:val="right"/>
            </w:pPr>
            <w:r>
              <w:t xml:space="preserve">44.88</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80</w:t>
            </w:r>
          </w:p>
        </w:tc>
        <w:tc>
          <w:tcPr/>
          <w:p>
            <w:pPr>
              <w:pStyle w:val="Compact"/>
              <w:jc w:val="right"/>
            </w:pPr>
            <w:r>
              <w:t xml:space="preserve">45.98</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90</w:t>
            </w:r>
          </w:p>
        </w:tc>
        <w:tc>
          <w:tcPr/>
          <w:p>
            <w:pPr>
              <w:pStyle w:val="Compact"/>
              <w:jc w:val="right"/>
            </w:pPr>
            <w:r>
              <w:t xml:space="preserve">46.91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30</w:t>
            </w:r>
          </w:p>
        </w:tc>
        <w:tc>
          <w:tcPr/>
          <w:p>
            <w:pPr>
              <w:pStyle w:val="Compact"/>
              <w:jc w:val="right"/>
            </w:pPr>
            <w:r>
              <w:t xml:space="preserve">34.01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40</w:t>
            </w:r>
          </w:p>
        </w:tc>
        <w:tc>
          <w:tcPr/>
          <w:p>
            <w:pPr>
              <w:pStyle w:val="Compact"/>
              <w:jc w:val="right"/>
            </w:pPr>
            <w:r>
              <w:t xml:space="preserve">39.54</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50</w:t>
            </w:r>
          </w:p>
        </w:tc>
        <w:tc>
          <w:tcPr/>
          <w:p>
            <w:pPr>
              <w:pStyle w:val="Compact"/>
              <w:jc w:val="right"/>
            </w:pPr>
            <w:r>
              <w:t xml:space="preserve">39.54</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60</w:t>
            </w:r>
          </w:p>
        </w:tc>
        <w:tc>
          <w:tcPr/>
          <w:p>
            <w:pPr>
              <w:pStyle w:val="Compact"/>
              <w:jc w:val="right"/>
            </w:pPr>
            <w:r>
              <w:t xml:space="preserve">42.51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70</w:t>
            </w:r>
          </w:p>
        </w:tc>
        <w:tc>
          <w:tcPr/>
          <w:p>
            <w:pPr>
              <w:pStyle w:val="Compact"/>
              <w:jc w:val="right"/>
            </w:pPr>
            <w:r>
              <w:t xml:space="preserve">42.51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80</w:t>
            </w:r>
          </w:p>
        </w:tc>
        <w:tc>
          <w:tcPr/>
          <w:p>
            <w:pPr>
              <w:pStyle w:val="Compact"/>
              <w:jc w:val="right"/>
            </w:pPr>
            <w:r>
              <w:t xml:space="preserve">43.52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90</w:t>
            </w:r>
          </w:p>
        </w:tc>
        <w:tc>
          <w:tcPr/>
          <w:p>
            <w:pPr>
              <w:pStyle w:val="Compact"/>
              <w:jc w:val="right"/>
            </w:pPr>
            <w:r>
              <w:t xml:space="preserve">44.33</w:t>
            </w:r>
          </w:p>
        </w:tc>
      </w:tr>
    </w:tbl>
    <w:p>
      <w:r>
        <w:br w:type="page"/>
      </w:r>
    </w:p>
    <w:p>
      <w:pPr>
        <w:pStyle w:val="TableCaption"/>
      </w:pPr>
      <w:r>
        <w:t xml:space="preserve">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Survey</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w:t>
      </w:r>
    </w:p>
    <w:tbl>
      <w:tblPr>
        <w:tblStyle w:val="Table"/>
        <w:tblW w:type="auto" w:w="0"/>
        <w:tblLook w:firstRow="1" w:lastRow="0" w:firstColumn="0" w:lastColumn="0" w:noHBand="0" w:noVBand="0" w:val="0020"/>
        <w:tblCaption w:val="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Survey</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4: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4: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CI</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bookmarkEnd w:id="103"/>
    <w:bookmarkStart w:id="112"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in Deadwater Slough using different mark-recapture estimators and for the fall sampling events. Error bars indicate 95% confidence interval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in Deadwater Slough using different mark-recapture estimators and for the fall sampling events. Error bars indicate 95% confidence intervals.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est" title="" id="1" name="Picture"/>
            <a:graphic>
              <a:graphicData uri="http://schemas.openxmlformats.org/drawingml/2006/picture">
                <pic:pic>
                  <pic:nvPicPr>
                    <pic:cNvPr descr="../figures/juv-con-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test</w:t>
      </w:r>
    </w:p>
    <w:p>
      <w:r>
        <w:br w:type="page"/>
      </w:r>
    </w:p>
    <w:p>
      <w:pPr>
        <w:pStyle w:val="CaptionedFigure"/>
      </w:pPr>
      <w:r>
        <w:drawing>
          <wp:inline>
            <wp:extent cx="5504749" cy="3669832"/>
            <wp:effectExtent b="0" l="0" r="0" t="0"/>
            <wp:docPr descr="Figure 6: temp" title="" id="1" name="Picture"/>
            <a:graphic>
              <a:graphicData uri="http://schemas.openxmlformats.org/drawingml/2006/picture">
                <pic:pic>
                  <pic:nvPicPr>
                    <pic:cNvPr descr="../figures/adult-imp-p-1.png" id="0" name="Picture"/>
                    <pic:cNvPicPr>
                      <a:picLocks noChangeArrowheads="1" noChangeAspect="1"/>
                    </pic:cNvPicPr>
                  </pic:nvPicPr>
                  <pic:blipFill>
                    <a:blip r:embed="rId11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temp</w:t>
      </w:r>
    </w:p>
    <w:p>
      <w:r>
        <w:br w:type="page"/>
      </w:r>
    </w:p>
    <w:bookmarkStart w:id="111" w:name="colophon"/>
    <w:p>
      <w:pPr>
        <w:pStyle w:val="Heading3"/>
      </w:pPr>
      <w:r>
        <w:t xml:space="preserve">Colophon</w:t>
      </w:r>
    </w:p>
    <w:p>
      <w:pPr>
        <w:pStyle w:val="FirstParagraph"/>
      </w:pPr>
      <w:r>
        <w:t xml:space="preserve">This report was generated on 2022-02-02 18:44:48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[8063571] 2022-02-03: new bioenergetics runs</w:t>
      </w:r>
    </w:p>
    <w:bookmarkEnd w:id="111"/>
    <w:bookmarkEnd w:id="11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2022-02-03T01:44:50Z</dcterms:created>
  <dcterms:modified xsi:type="dcterms:W3CDTF">2022-02-03T01:44:50Z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02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